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4651D4" w:rsidRPr="00BC72A1" w:rsidRDefault="00B266E0" w:rsidP="00BC72A1">
      <w:pPr>
        <w:pStyle w:val="Heading1"/>
        <w:jc w:val="center"/>
        <w:rPr>
          <w:sz w:val="44"/>
          <w:szCs w:val="44"/>
        </w:rPr>
      </w:pPr>
      <w:r w:rsidRPr="00BC72A1">
        <w:rPr>
          <w:sz w:val="44"/>
          <w:szCs w:val="44"/>
        </w:rPr>
        <w:t>p1</w:t>
      </w:r>
      <w:r w:rsidR="00A15FB5">
        <w:rPr>
          <w:sz w:val="44"/>
          <w:szCs w:val="44"/>
        </w:rPr>
        <w:t>51116</w:t>
      </w:r>
      <w:r w:rsidRPr="00BC72A1">
        <w:rPr>
          <w:sz w:val="44"/>
          <w:szCs w:val="44"/>
        </w:rPr>
        <w:t>v1</w:t>
      </w:r>
    </w:p>
    <w:p w:rsidR="004651D4" w:rsidRDefault="004651D4" w:rsidP="004651D4">
      <w:pPr>
        <w:rPr>
          <w:rFonts w:asciiTheme="majorHAnsi" w:eastAsiaTheme="majorEastAsia" w:hAnsiTheme="majorHAnsi" w:cstheme="majorBidi"/>
          <w:color w:val="365F91" w:themeColor="accent1" w:themeShade="BF"/>
          <w:sz w:val="28"/>
          <w:szCs w:val="28"/>
        </w:rPr>
      </w:pPr>
      <w:r>
        <w:br w:type="page"/>
      </w:r>
    </w:p>
    <w:p w:rsidR="00590C8F" w:rsidRDefault="005B088D" w:rsidP="00BC72A1">
      <w:pPr>
        <w:pStyle w:val="Heading3"/>
      </w:pPr>
      <w:r>
        <w:lastRenderedPageBreak/>
        <w:t>FP 25152, 25154</w:t>
      </w:r>
      <w:r w:rsidR="00BC72A1">
        <w:t xml:space="preserve"> </w:t>
      </w:r>
      <w:r>
        <w:t>–</w:t>
      </w:r>
      <w:r w:rsidR="00BC72A1">
        <w:t xml:space="preserve"> </w:t>
      </w:r>
      <w:r>
        <w:t>Barcode Scanner program accepts Purchase Order and Print Label</w:t>
      </w:r>
      <w:r w:rsidR="00BC72A1">
        <w:t>.</w:t>
      </w:r>
    </w:p>
    <w:p w:rsidR="005B088D" w:rsidRDefault="005B088D" w:rsidP="005B088D">
      <w:r>
        <w:t xml:space="preserve">The Barcode Scanner program supports printing certain labels as setup in Department maintenance as manual order print control.  The Manual Order Tracking and Manual order </w:t>
      </w:r>
      <w:proofErr w:type="gramStart"/>
      <w:r>
        <w:t>Printing</w:t>
      </w:r>
      <w:proofErr w:type="gramEnd"/>
      <w:r>
        <w:t xml:space="preserve"> screens have always support this and now the barcode program does as well.  This will only work for labels that print from the </w:t>
      </w:r>
      <w:proofErr w:type="spellStart"/>
      <w:r>
        <w:t>other_label</w:t>
      </w:r>
      <w:proofErr w:type="spellEnd"/>
      <w:r>
        <w:t xml:space="preserve"> package.    In order to activate this option the –MOT=OK option must be specified on the command line for the barcode scanners that will be enabled for this feature.     Scanners can now be setup to scan and search for jobs either by </w:t>
      </w:r>
      <w:proofErr w:type="spellStart"/>
      <w:r>
        <w:t>job_id</w:t>
      </w:r>
      <w:proofErr w:type="spellEnd"/>
      <w:proofErr w:type="gramStart"/>
      <w:r>
        <w:t>,  tray</w:t>
      </w:r>
      <w:proofErr w:type="gramEnd"/>
      <w:r>
        <w:t xml:space="preserve"> or PO id.  Previously scanners could only search either by tray or </w:t>
      </w:r>
      <w:proofErr w:type="spellStart"/>
      <w:r>
        <w:t>job_id</w:t>
      </w:r>
      <w:proofErr w:type="spellEnd"/>
      <w:r>
        <w:t xml:space="preserve">.   </w:t>
      </w:r>
    </w:p>
    <w:p w:rsidR="00365941" w:rsidRDefault="00365941" w:rsidP="00365941">
      <w:pPr>
        <w:pStyle w:val="Heading3"/>
      </w:pPr>
      <w:r>
        <w:t xml:space="preserve">FP 25045 </w:t>
      </w:r>
      <w:proofErr w:type="gramStart"/>
      <w:r>
        <w:t xml:space="preserve">-  </w:t>
      </w:r>
      <w:proofErr w:type="spellStart"/>
      <w:r>
        <w:t>Eyemed</w:t>
      </w:r>
      <w:proofErr w:type="spellEnd"/>
      <w:proofErr w:type="gramEnd"/>
      <w:r>
        <w:t xml:space="preserve"> Entered </w:t>
      </w:r>
      <w:proofErr w:type="spellStart"/>
      <w:r>
        <w:t>v.s</w:t>
      </w:r>
      <w:proofErr w:type="spellEnd"/>
      <w:r>
        <w:t>. Ordered Lens color</w:t>
      </w:r>
    </w:p>
    <w:p w:rsidR="00365941" w:rsidRDefault="00365941" w:rsidP="00365941">
      <w:r>
        <w:t xml:space="preserve">An issue was found in the </w:t>
      </w:r>
      <w:proofErr w:type="spellStart"/>
      <w:r>
        <w:t>Eyemed</w:t>
      </w:r>
      <w:proofErr w:type="spellEnd"/>
      <w:r>
        <w:t xml:space="preserve"> reporting where the lens color was not found and reported back to </w:t>
      </w:r>
      <w:proofErr w:type="spellStart"/>
      <w:r>
        <w:t>Eyemed</w:t>
      </w:r>
      <w:proofErr w:type="spellEnd"/>
      <w:r>
        <w:t xml:space="preserve"> a default color incorrectly.  This has been resolved and now reports the correct lens colors for both entered and orders.</w:t>
      </w:r>
    </w:p>
    <w:p w:rsidR="00365941" w:rsidRDefault="00365941" w:rsidP="00365941">
      <w:pPr>
        <w:pStyle w:val="Heading3"/>
      </w:pPr>
      <w:r>
        <w:t>FP 24727 – Outsource Comments Restriction Option</w:t>
      </w:r>
    </w:p>
    <w:p w:rsidR="0047240D" w:rsidRDefault="0047240D" w:rsidP="00365941">
      <w:r>
        <w:t xml:space="preserve">In 2013 Outsourcing was enhanced to allow transmitting comments to the Outsource Vendor through </w:t>
      </w:r>
      <w:proofErr w:type="spellStart"/>
      <w:r>
        <w:t>VisionWeb</w:t>
      </w:r>
      <w:proofErr w:type="spellEnd"/>
      <w:r>
        <w:t>.  When this was designed it sent all comments (1-4) on the job.    The new option allows the vendor to be set to send the individual comments 1 through 4.  For instance a vendor could be set to only send comment 1 and not the other 3.</w:t>
      </w:r>
    </w:p>
    <w:p w:rsidR="0022527A" w:rsidRDefault="0022527A" w:rsidP="0022527A">
      <w:pPr>
        <w:pStyle w:val="Heading3"/>
      </w:pPr>
      <w:r>
        <w:t xml:space="preserve">FP 24655 – Aspheric Single Vision </w:t>
      </w:r>
      <w:proofErr w:type="spellStart"/>
      <w:r>
        <w:t>Decentration</w:t>
      </w:r>
      <w:proofErr w:type="spellEnd"/>
      <w:r>
        <w:t xml:space="preserve"> changed</w:t>
      </w:r>
    </w:p>
    <w:p w:rsidR="00D60D59" w:rsidRDefault="0022527A" w:rsidP="0022527A">
      <w:proofErr w:type="spellStart"/>
      <w:r>
        <w:t>Decentration</w:t>
      </w:r>
      <w:proofErr w:type="spellEnd"/>
      <w:r>
        <w:t xml:space="preserve"> of Aspheric Single Vision Lenses has been changed not happen.  This is to keep from inducing RX Prism </w:t>
      </w:r>
      <w:r w:rsidR="00D60D59">
        <w:t xml:space="preserve">in Aspheric SV. </w:t>
      </w:r>
    </w:p>
    <w:p w:rsidR="000B2C92" w:rsidRDefault="000B2C92" w:rsidP="000B2C92">
      <w:pPr>
        <w:pStyle w:val="Heading3"/>
      </w:pPr>
      <w:r>
        <w:t xml:space="preserve">FP 24617 – </w:t>
      </w:r>
      <w:proofErr w:type="spellStart"/>
      <w:r>
        <w:t>VisionWeb</w:t>
      </w:r>
      <w:proofErr w:type="spellEnd"/>
      <w:r>
        <w:t xml:space="preserve"> Import Support for Industrial Thickness lens status</w:t>
      </w:r>
    </w:p>
    <w:p w:rsidR="000B2C92" w:rsidRDefault="000B2C92" w:rsidP="000B2C92">
      <w:r>
        <w:t xml:space="preserve">In </w:t>
      </w:r>
      <w:proofErr w:type="spellStart"/>
      <w:r>
        <w:t>VisionWeb</w:t>
      </w:r>
      <w:proofErr w:type="spellEnd"/>
      <w:r>
        <w:t xml:space="preserve"> import | Import Job Action 2 columns exist for regular and industrial lens status.  This selection is based on the edge type sent in on the order.  If the edge type is an industrial edge type based on the Industrial flag.  The industrial lens status will be selected.</w:t>
      </w:r>
      <w:r>
        <w:rPr>
          <w:noProof/>
        </w:rPr>
        <w:drawing>
          <wp:inline distT="0" distB="0" distL="0" distR="0">
            <wp:extent cx="5943600" cy="21431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2143125"/>
                    </a:xfrm>
                    <a:prstGeom prst="rect">
                      <a:avLst/>
                    </a:prstGeom>
                    <a:noFill/>
                    <a:ln w="9525">
                      <a:noFill/>
                      <a:miter lim="800000"/>
                      <a:headEnd/>
                      <a:tailEnd/>
                    </a:ln>
                  </pic:spPr>
                </pic:pic>
              </a:graphicData>
            </a:graphic>
          </wp:inline>
        </w:drawing>
      </w:r>
    </w:p>
    <w:p w:rsidR="000B2C92" w:rsidRDefault="000B2C92" w:rsidP="000B2C92">
      <w:r>
        <w:rPr>
          <w:noProof/>
        </w:rPr>
        <w:lastRenderedPageBreak/>
        <w:drawing>
          <wp:inline distT="0" distB="0" distL="0" distR="0">
            <wp:extent cx="5486400" cy="38195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86400" cy="3819525"/>
                    </a:xfrm>
                    <a:prstGeom prst="rect">
                      <a:avLst/>
                    </a:prstGeom>
                    <a:noFill/>
                    <a:ln w="9525">
                      <a:noFill/>
                      <a:miter lim="800000"/>
                      <a:headEnd/>
                      <a:tailEnd/>
                    </a:ln>
                  </pic:spPr>
                </pic:pic>
              </a:graphicData>
            </a:graphic>
          </wp:inline>
        </w:drawing>
      </w:r>
    </w:p>
    <w:p w:rsidR="000B2C92" w:rsidRDefault="000B2C92" w:rsidP="000B2C92">
      <w:pPr>
        <w:pStyle w:val="Heading3"/>
      </w:pPr>
      <w:r>
        <w:t xml:space="preserve">FP 24438 </w:t>
      </w:r>
      <w:proofErr w:type="gramStart"/>
      <w:r>
        <w:t>-  Print</w:t>
      </w:r>
      <w:proofErr w:type="gramEnd"/>
      <w:r>
        <w:t xml:space="preserve"> Direction by Customer Report Group</w:t>
      </w:r>
    </w:p>
    <w:p w:rsidR="00BC650C" w:rsidRDefault="000B2C92" w:rsidP="000B2C92">
      <w:r>
        <w:t xml:space="preserve">In System Management | Maintenance | Print Maintenance | Print Direction </w:t>
      </w:r>
      <w:r w:rsidR="00BC650C">
        <w:t xml:space="preserve">a print direction can be set by customer report group.  This can have a big impact if you are currently using default services by customer to configure print direction rules you may be able to stop doing that and use the report group instead.   </w:t>
      </w:r>
    </w:p>
    <w:p w:rsidR="00BC650C" w:rsidRDefault="00BC650C" w:rsidP="00BC650C">
      <w:pPr>
        <w:pStyle w:val="Heading3"/>
      </w:pPr>
      <w:r>
        <w:t xml:space="preserve">FP 24435 – </w:t>
      </w:r>
      <w:proofErr w:type="spellStart"/>
      <w:r>
        <w:t>Makeability</w:t>
      </w:r>
      <w:proofErr w:type="spellEnd"/>
      <w:r>
        <w:t xml:space="preserve"> returns</w:t>
      </w:r>
    </w:p>
    <w:p w:rsidR="00BC650C" w:rsidRDefault="00BC650C" w:rsidP="000B2C92">
      <w:proofErr w:type="spellStart"/>
      <w:r>
        <w:t>Makeability</w:t>
      </w:r>
      <w:proofErr w:type="spellEnd"/>
      <w:r>
        <w:t xml:space="preserve"> now returns OPC’s correctly for the left lens.</w:t>
      </w:r>
    </w:p>
    <w:p w:rsidR="00BC650C" w:rsidRDefault="00BC650C" w:rsidP="00BC650C">
      <w:pPr>
        <w:pStyle w:val="Heading3"/>
      </w:pPr>
      <w:r>
        <w:t>FP 24632 – Imported Invalid remake reason code returns</w:t>
      </w:r>
    </w:p>
    <w:p w:rsidR="00BC650C" w:rsidRDefault="00BC650C" w:rsidP="00BC650C">
      <w:r>
        <w:t>When an invalid remake reason code was imported with an electronic order the error code stored for the job was 0 and should have been 2263 as expected.</w:t>
      </w:r>
    </w:p>
    <w:p w:rsidR="00BC650C" w:rsidRDefault="00BC650C" w:rsidP="00BC650C">
      <w:pPr>
        <w:pStyle w:val="Heading3"/>
      </w:pPr>
      <w:r>
        <w:t>FP 23629 – Statement to PDF</w:t>
      </w:r>
    </w:p>
    <w:p w:rsidR="00BC650C" w:rsidRDefault="008B2112" w:rsidP="00BC650C">
      <w:r>
        <w:t>A new tab is available in AR Inquiry that can be used to generate a PDF of a statement for the customer currently selected.  There is some setup that needs to be completed in order to make this work.  It requires a Samba share connect and some directories on the LMS server and an entry in the vistar.ini file on each PC that will run this option.  A statement can be printed for any past period for that customer.  Aging is automatically done for the period selected.  In addition the Monthly Processing screen has been enhanced to show the currently aged period so a user can decide if aging needs to be run again at statement time.</w:t>
      </w:r>
    </w:p>
    <w:p w:rsidR="008B2112" w:rsidRDefault="008B2112" w:rsidP="00BC650C">
      <w:r>
        <w:rPr>
          <w:noProof/>
        </w:rPr>
        <w:lastRenderedPageBreak/>
        <w:drawing>
          <wp:inline distT="0" distB="0" distL="0" distR="0">
            <wp:extent cx="4953000" cy="25431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953000" cy="2543175"/>
                    </a:xfrm>
                    <a:prstGeom prst="rect">
                      <a:avLst/>
                    </a:prstGeom>
                    <a:noFill/>
                    <a:ln w="9525">
                      <a:noFill/>
                      <a:miter lim="800000"/>
                      <a:headEnd/>
                      <a:tailEnd/>
                    </a:ln>
                  </pic:spPr>
                </pic:pic>
              </a:graphicData>
            </a:graphic>
          </wp:inline>
        </w:drawing>
      </w:r>
    </w:p>
    <w:p w:rsidR="008B2112" w:rsidRDefault="008B2112" w:rsidP="00BC650C">
      <w:r>
        <w:rPr>
          <w:noProof/>
        </w:rPr>
        <w:drawing>
          <wp:inline distT="0" distB="0" distL="0" distR="0">
            <wp:extent cx="5162550" cy="43148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162550" cy="4314825"/>
                    </a:xfrm>
                    <a:prstGeom prst="rect">
                      <a:avLst/>
                    </a:prstGeom>
                    <a:noFill/>
                    <a:ln w="9525">
                      <a:noFill/>
                      <a:miter lim="800000"/>
                      <a:headEnd/>
                      <a:tailEnd/>
                    </a:ln>
                  </pic:spPr>
                </pic:pic>
              </a:graphicData>
            </a:graphic>
          </wp:inline>
        </w:drawing>
      </w:r>
    </w:p>
    <w:p w:rsidR="008B2112" w:rsidRDefault="008B2112" w:rsidP="008B2112">
      <w:pPr>
        <w:pStyle w:val="Heading3"/>
      </w:pPr>
      <w:r>
        <w:t xml:space="preserve">FP 23431 – </w:t>
      </w:r>
      <w:proofErr w:type="spellStart"/>
      <w:r>
        <w:t>Essilor</w:t>
      </w:r>
      <w:proofErr w:type="spellEnd"/>
      <w:r>
        <w:t xml:space="preserve"> EYEZEN digital product support</w:t>
      </w:r>
    </w:p>
    <w:p w:rsidR="008B2112" w:rsidRDefault="008B2112" w:rsidP="00BC650C">
      <w:proofErr w:type="spellStart"/>
      <w:r>
        <w:t>Essilor</w:t>
      </w:r>
      <w:proofErr w:type="spellEnd"/>
      <w:r>
        <w:t xml:space="preserve"> EYEZEN digital support is available.  EYEZEN requires a very specific lens setup as EYEZEN1, EYEZEN2 and EYEZEN3.  Within each of these lens styles a new flag needs set in the lens style</w:t>
      </w:r>
      <w:r w:rsidR="002B7012">
        <w:t xml:space="preserve"> called Static Add</w:t>
      </w:r>
      <w:r>
        <w:t>.</w:t>
      </w:r>
      <w:r w:rsidR="002B7012">
        <w:t xml:space="preserve">  This is because the lens style is single vision but it requires an add power and </w:t>
      </w:r>
      <w:proofErr w:type="spellStart"/>
      <w:r w:rsidR="002B7012">
        <w:t>seg</w:t>
      </w:r>
      <w:proofErr w:type="spellEnd"/>
      <w:r w:rsidR="002B7012">
        <w:t xml:space="preserve"> height to be fitted.</w:t>
      </w:r>
      <w:r>
        <w:t xml:space="preserve"> </w:t>
      </w:r>
    </w:p>
    <w:p w:rsidR="008B2112" w:rsidRPr="00BC650C" w:rsidRDefault="008B2112" w:rsidP="00BC650C">
      <w:r>
        <w:rPr>
          <w:noProof/>
        </w:rPr>
        <w:lastRenderedPageBreak/>
        <w:drawing>
          <wp:inline distT="0" distB="0" distL="0" distR="0">
            <wp:extent cx="5934075" cy="2714625"/>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34075" cy="2714625"/>
                    </a:xfrm>
                    <a:prstGeom prst="rect">
                      <a:avLst/>
                    </a:prstGeom>
                    <a:noFill/>
                    <a:ln w="9525">
                      <a:noFill/>
                      <a:miter lim="800000"/>
                      <a:headEnd/>
                      <a:tailEnd/>
                    </a:ln>
                  </pic:spPr>
                </pic:pic>
              </a:graphicData>
            </a:graphic>
          </wp:inline>
        </w:drawing>
      </w:r>
    </w:p>
    <w:p w:rsidR="000B2C92" w:rsidRDefault="00BC650C" w:rsidP="00325E4E">
      <w:pPr>
        <w:pStyle w:val="Heading3"/>
      </w:pPr>
      <w:r>
        <w:t xml:space="preserve"> </w:t>
      </w:r>
      <w:r w:rsidR="00325E4E">
        <w:t>FP 22749 – TDS Reporting</w:t>
      </w:r>
    </w:p>
    <w:p w:rsidR="00325E4E" w:rsidRDefault="00325E4E" w:rsidP="000B2C92">
      <w:r>
        <w:t xml:space="preserve">TDS – traditional digital surfacing has been enhanced with reporting in the Production Management | </w:t>
      </w:r>
      <w:r w:rsidR="009B25C6">
        <w:t xml:space="preserve">Inquiry | TDS Usage Inquiry.  This report can be used to analyze the TDS throughput of the lab for either a specific order or a date range.  </w:t>
      </w:r>
      <w:r w:rsidR="00DA4DA9">
        <w:t xml:space="preserve"> This report looks at the historical data of actual tool usage and soft lap (TDS) selected due to no tool available or forced at order entry.  </w:t>
      </w:r>
    </w:p>
    <w:p w:rsidR="009B25C6" w:rsidRDefault="009B25C6" w:rsidP="000B2C92">
      <w:r>
        <w:rPr>
          <w:noProof/>
        </w:rPr>
        <w:drawing>
          <wp:inline distT="0" distB="0" distL="0" distR="0">
            <wp:extent cx="5943600" cy="19716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943600" cy="1971675"/>
                    </a:xfrm>
                    <a:prstGeom prst="rect">
                      <a:avLst/>
                    </a:prstGeom>
                    <a:noFill/>
                    <a:ln w="9525">
                      <a:noFill/>
                      <a:miter lim="800000"/>
                      <a:headEnd/>
                      <a:tailEnd/>
                    </a:ln>
                  </pic:spPr>
                </pic:pic>
              </a:graphicData>
            </a:graphic>
          </wp:inline>
        </w:drawing>
      </w:r>
    </w:p>
    <w:p w:rsidR="009B25C6" w:rsidRPr="000B2C92" w:rsidRDefault="009B25C6" w:rsidP="000B2C92">
      <w:r>
        <w:rPr>
          <w:noProof/>
        </w:rPr>
        <w:lastRenderedPageBreak/>
        <w:drawing>
          <wp:inline distT="0" distB="0" distL="0" distR="0">
            <wp:extent cx="2524125" cy="37719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524125" cy="3771900"/>
                    </a:xfrm>
                    <a:prstGeom prst="rect">
                      <a:avLst/>
                    </a:prstGeom>
                    <a:noFill/>
                    <a:ln w="9525">
                      <a:noFill/>
                      <a:miter lim="800000"/>
                      <a:headEnd/>
                      <a:tailEnd/>
                    </a:ln>
                  </pic:spPr>
                </pic:pic>
              </a:graphicData>
            </a:graphic>
          </wp:inline>
        </w:drawing>
      </w:r>
    </w:p>
    <w:p w:rsidR="000B2C92" w:rsidRDefault="000B2C92" w:rsidP="000B2C92"/>
    <w:p w:rsidR="000B2C92" w:rsidRDefault="000B2C92">
      <w:pPr>
        <w:rPr>
          <w:rFonts w:asciiTheme="majorHAnsi" w:eastAsiaTheme="majorEastAsia" w:hAnsiTheme="majorHAnsi" w:cstheme="majorBidi"/>
          <w:b/>
          <w:bCs/>
          <w:color w:val="4F81BD" w:themeColor="accent1"/>
          <w:sz w:val="26"/>
          <w:szCs w:val="26"/>
        </w:rPr>
      </w:pPr>
      <w:r>
        <w:br w:type="page"/>
      </w:r>
    </w:p>
    <w:p w:rsidR="00C5217E" w:rsidRDefault="00841FB0" w:rsidP="00841FB0">
      <w:pPr>
        <w:pStyle w:val="Heading2"/>
      </w:pPr>
      <w:r>
        <w:lastRenderedPageBreak/>
        <w:t>Patch Builds</w:t>
      </w:r>
    </w:p>
    <w:p w:rsidR="00841FB0" w:rsidRDefault="00841FB0" w:rsidP="00841FB0"/>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Accounts Payable        Build 01-29-2013 1319</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Accounts Receivable     Build 11-05-2015 1443   * NEW *</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Anti-Reflective Coating Build 01-30-2013 0959</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Contract Management     Build 04-15-2015 1213</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Customer Service        Build 09-23-2015 1257</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Database Management     Build 01-12-2016 1757   * NEW *</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General Ledger          Build 01-30-2013 1134</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Inventory Management    Build 08-26-2015 2039</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Order Management        Build 11-05-2015 2147   * NEW *</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Production Management   Build 11-04-2015 1926   * NEW *</w:t>
      </w:r>
    </w:p>
    <w:p w:rsidR="00DA4DA9" w:rsidRDefault="00DA4DA9" w:rsidP="00DA4DA9">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Shipping Management     Build 04-16-2015 0925</w:t>
      </w:r>
    </w:p>
    <w:p w:rsidR="00841FB0" w:rsidRPr="00841FB0" w:rsidRDefault="00DA4DA9" w:rsidP="00DA4DA9">
      <w:pPr>
        <w:autoSpaceDE w:val="0"/>
        <w:autoSpaceDN w:val="0"/>
        <w:adjustRightInd w:val="0"/>
        <w:spacing w:after="0" w:line="240" w:lineRule="auto"/>
      </w:pPr>
      <w:r>
        <w:rPr>
          <w:rFonts w:ascii="Consolas" w:hAnsi="Consolas" w:cs="Consolas"/>
          <w:sz w:val="20"/>
          <w:szCs w:val="20"/>
        </w:rPr>
        <w:t xml:space="preserve">   System Management       Build 08-27-2015 1621</w:t>
      </w:r>
    </w:p>
    <w:sectPr w:rsidR="00841FB0" w:rsidRPr="00841FB0" w:rsidSect="00590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6E0"/>
    <w:rsid w:val="00046469"/>
    <w:rsid w:val="000B2C92"/>
    <w:rsid w:val="00124E5F"/>
    <w:rsid w:val="001D2715"/>
    <w:rsid w:val="0022527A"/>
    <w:rsid w:val="00246A09"/>
    <w:rsid w:val="002B7012"/>
    <w:rsid w:val="00325E4E"/>
    <w:rsid w:val="00365941"/>
    <w:rsid w:val="004651D4"/>
    <w:rsid w:val="0047240D"/>
    <w:rsid w:val="00590C8F"/>
    <w:rsid w:val="005B088D"/>
    <w:rsid w:val="00677D29"/>
    <w:rsid w:val="00841FB0"/>
    <w:rsid w:val="008B2112"/>
    <w:rsid w:val="009257A7"/>
    <w:rsid w:val="009B25C6"/>
    <w:rsid w:val="00A02DBB"/>
    <w:rsid w:val="00A15FB5"/>
    <w:rsid w:val="00AE6832"/>
    <w:rsid w:val="00B266E0"/>
    <w:rsid w:val="00B335C6"/>
    <w:rsid w:val="00BC56AF"/>
    <w:rsid w:val="00BC650C"/>
    <w:rsid w:val="00BC72A1"/>
    <w:rsid w:val="00BD4F82"/>
    <w:rsid w:val="00C5217E"/>
    <w:rsid w:val="00D60D59"/>
    <w:rsid w:val="00DA4DA9"/>
    <w:rsid w:val="00E42883"/>
    <w:rsid w:val="00E67E7C"/>
    <w:rsid w:val="00E92718"/>
    <w:rsid w:val="00EF128E"/>
    <w:rsid w:val="00F02F97"/>
    <w:rsid w:val="00F42CA0"/>
    <w:rsid w:val="00F45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8F"/>
  </w:style>
  <w:style w:type="paragraph" w:styleId="Heading1">
    <w:name w:val="heading 1"/>
    <w:basedOn w:val="Normal"/>
    <w:next w:val="Normal"/>
    <w:link w:val="Heading1Char"/>
    <w:uiPriority w:val="9"/>
    <w:qFormat/>
    <w:rsid w:val="00465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2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72A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5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4300A-0582-428A-8DA9-04E3E25C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Maxfield</dc:creator>
  <cp:lastModifiedBy>Jason Maxfield</cp:lastModifiedBy>
  <cp:revision>14</cp:revision>
  <dcterms:created xsi:type="dcterms:W3CDTF">2013-12-09T23:48:00Z</dcterms:created>
  <dcterms:modified xsi:type="dcterms:W3CDTF">2016-02-02T21:32:00Z</dcterms:modified>
</cp:coreProperties>
</file>